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E2" w:rsidRDefault="00BA47E2" w:rsidP="00BA47E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96D3E" wp14:editId="7E90A39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47E2" w:rsidRDefault="00BA47E2" w:rsidP="00BA47E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A47E2" w:rsidRDefault="00BA47E2" w:rsidP="00BA47E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A47E2" w:rsidRDefault="00BA47E2" w:rsidP="00BA47E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A47E2" w:rsidRDefault="00BA47E2" w:rsidP="00BA47E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A47E2" w:rsidRDefault="00BA47E2" w:rsidP="00BA47E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A47E2" w:rsidRDefault="00BA47E2" w:rsidP="00BA47E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DE096F3" wp14:editId="7C0B99A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BA47E2" w:rsidRDefault="00054B8B" w:rsidP="00054B8B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  <w:shd w:val="clear" w:color="auto" w:fill="FFFFFF"/>
          <w:lang w:val="uk-UA"/>
        </w:rPr>
      </w:pPr>
      <w:r w:rsidRPr="00BA47E2">
        <w:rPr>
          <w:rFonts w:ascii="Times New Roman" w:hAnsi="Times New Roman" w:cs="Times New Roman"/>
          <w:i/>
          <w:color w:val="000000"/>
          <w:sz w:val="26"/>
          <w:szCs w:val="26"/>
          <w:u w:val="single"/>
          <w:shd w:val="clear" w:color="auto" w:fill="FFFFFF"/>
          <w:lang w:val="uk-UA"/>
        </w:rPr>
        <w:t xml:space="preserve">Які особливості слід враховувати СГ з 01.01.2023 при програмуванні найменування кожного підакцизного товару із зазначенням коду товарної </w:t>
      </w:r>
      <w:proofErr w:type="spellStart"/>
      <w:r w:rsidRPr="00BA47E2">
        <w:rPr>
          <w:rFonts w:ascii="Times New Roman" w:hAnsi="Times New Roman" w:cs="Times New Roman"/>
          <w:i/>
          <w:color w:val="000000"/>
          <w:sz w:val="26"/>
          <w:szCs w:val="26"/>
          <w:u w:val="single"/>
          <w:shd w:val="clear" w:color="auto" w:fill="FFFFFF"/>
          <w:lang w:val="uk-UA"/>
        </w:rPr>
        <w:t>підкатегорії</w:t>
      </w:r>
      <w:proofErr w:type="spellEnd"/>
      <w:r w:rsidRPr="00BA47E2">
        <w:rPr>
          <w:rFonts w:ascii="Times New Roman" w:hAnsi="Times New Roman" w:cs="Times New Roman"/>
          <w:i/>
          <w:color w:val="000000"/>
          <w:sz w:val="26"/>
          <w:szCs w:val="26"/>
          <w:u w:val="single"/>
          <w:shd w:val="clear" w:color="auto" w:fill="FFFFFF"/>
          <w:lang w:val="uk-UA"/>
        </w:rPr>
        <w:t xml:space="preserve"> згідно з УКТ ЗЕД версії 2022 року, запровадженої Законом України «Про митний тариф України»?</w:t>
      </w:r>
    </w:p>
    <w:p w:rsidR="00054B8B" w:rsidRPr="00BA47E2" w:rsidRDefault="00054B8B" w:rsidP="00054B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 З 01 січня 2023 року починають діяти нові коди згідно з Українським класифікатором товарів зовнішньоекономічної діяльності (далі – УКТ ЗЕД) (версії 2022 року), запроваджені Законом України від 19 жовтня 2022 року № 2697-IX «Про Митний тариф України». При цьому, коди УКТ ЗЕД, затверджені Законом України від 04 червня 2020 року № 674-IX «Про Митний тариф України» втрачають чинність з 01.01.2023.</w:t>
      </w:r>
    </w:p>
    <w:p w:rsidR="00054B8B" w:rsidRPr="00BA47E2" w:rsidRDefault="00054B8B" w:rsidP="00054B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Оскільки окремі позиції кодів товарів згідно з УКТ ЗЕД (версії 2022 року) зазнали змін у порівнянні з кодами товарів згідно з УКТ ЗЕД (версії 2017 року), чинними до 31.12.2022 (включно), то наказом Державної митної служби України від 23.11.2022 № 513, (набув чинності з 01.01.2023) затверджено Перехідні таблиці від УКТ ЗЕД версії 2017 року до УКТ ЗЕД версії 2022 року.</w:t>
      </w:r>
    </w:p>
    <w:p w:rsidR="00054B8B" w:rsidRPr="00BA47E2" w:rsidRDefault="00054B8B" w:rsidP="00054B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У зв’язку з вищенаведеним, суб’єкти господарювання, які здійснюють розрахункові операції у готівковій та/або безготівковій формі із застосуванням реєстраторів розрахункових операцій (далі – РРО) або програмних РРО (далі – ПРРО) під час торгівлі підакцизними товарами зобов’язані дотримуватись вимог п. 11 ст. 3 Закону України від 06 липня 1995 року № 265/95-ВР «Про застосування реєстраторів розрахункових операцій у сфері торгівлі, громадського харчування та послуг» із змінами та доповненням в частині використання режиму програмування із зазначенням коду товарної </w:t>
      </w:r>
      <w:proofErr w:type="spellStart"/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підкатегорії</w:t>
      </w:r>
      <w:proofErr w:type="spellEnd"/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згідно з УКТ ЗЕД, найменування товарів, цін товарів та обліку їх кількості, а також із зазначенням цифрового значення штрихового коду марки акцизного податку (серія та номер) при роздрібній торгівлі алкогольними напоями.</w:t>
      </w:r>
    </w:p>
    <w:p w:rsidR="00054B8B" w:rsidRPr="00BA47E2" w:rsidRDefault="00054B8B" w:rsidP="00054B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proofErr w:type="spellStart"/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Cуб’єктам</w:t>
      </w:r>
      <w:proofErr w:type="spellEnd"/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господарювання при програмуванні найменування кожного підакцизного товару із зазначенням коду товарної </w:t>
      </w:r>
      <w:proofErr w:type="spellStart"/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підкатегорії</w:t>
      </w:r>
      <w:proofErr w:type="spellEnd"/>
      <w:r w:rsidRPr="00BA47E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згідно з УКТ ЗЕД слід враховувати інформацію, яка вказана у супровідному документі (податковій накладній) постачальника при придбанні такого товару.</w:t>
      </w:r>
    </w:p>
    <w:p w:rsidR="00BA47E2" w:rsidRPr="00BA47E2" w:rsidRDefault="00BA47E2" w:rsidP="00BA47E2">
      <w:pPr>
        <w:ind w:firstLine="567"/>
        <w:rPr>
          <w:rStyle w:val="z-label"/>
          <w:rFonts w:ascii="Times New Roman" w:hAnsi="Times New Roman" w:cs="Times New Roman"/>
          <w:sz w:val="26"/>
          <w:szCs w:val="26"/>
        </w:rPr>
      </w:pPr>
      <w:r w:rsidRPr="00BA47E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 </w:t>
      </w:r>
      <w:proofErr w:type="spellStart"/>
      <w:r w:rsidRPr="00BA47E2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інформацією</w:t>
      </w:r>
      <w:proofErr w:type="spellEnd"/>
      <w:r w:rsidRPr="00BA47E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BA47E2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загальнодоступного</w:t>
      </w:r>
      <w:proofErr w:type="spellEnd"/>
      <w:r w:rsidRPr="00BA47E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BA47E2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інформаційно-довідкового</w:t>
      </w:r>
      <w:proofErr w:type="spellEnd"/>
      <w:r w:rsidRPr="00BA47E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ресурсу.</w:t>
      </w:r>
    </w:p>
    <w:p w:rsidR="00BA47E2" w:rsidRDefault="00BA47E2" w:rsidP="00BA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2247" w:rsidRDefault="00D42247" w:rsidP="00BA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2247" w:rsidRDefault="00D42247" w:rsidP="00BA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2247" w:rsidRDefault="00D42247" w:rsidP="00BA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2247" w:rsidRDefault="00D42247" w:rsidP="00BA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2247" w:rsidRDefault="00D42247" w:rsidP="00BA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42247" w:rsidRPr="00D42247" w:rsidRDefault="00D42247" w:rsidP="00BA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BA47E2" w:rsidRPr="00EA716F" w:rsidRDefault="00BA47E2" w:rsidP="00BA47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A47E2" w:rsidRPr="00BA47E2" w:rsidRDefault="00BA47E2" w:rsidP="00BA4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BA47E2" w:rsidRPr="00BA47E2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8B"/>
    <w:rsid w:val="00054B8B"/>
    <w:rsid w:val="004A64BE"/>
    <w:rsid w:val="00751448"/>
    <w:rsid w:val="00BA47E2"/>
    <w:rsid w:val="00D4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7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7E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A47E2"/>
  </w:style>
  <w:style w:type="character" w:styleId="a5">
    <w:name w:val="Hyperlink"/>
    <w:uiPriority w:val="99"/>
    <w:rsid w:val="00BA47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A47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7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7E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BA47E2"/>
  </w:style>
  <w:style w:type="character" w:styleId="a5">
    <w:name w:val="Hyperlink"/>
    <w:uiPriority w:val="99"/>
    <w:rsid w:val="00BA47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A47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1571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2023-01-10T09:33:00Z</dcterms:created>
  <dcterms:modified xsi:type="dcterms:W3CDTF">2023-01-18T09:10:00Z</dcterms:modified>
</cp:coreProperties>
</file>